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86 vom 1. Dezember 2021</w:t>
      </w:r>
    </w:p>
    <w:p>
      <w:r>
        <w:t>GR Gerichte, 2021-12-01, DE</w:t>
      </w:r>
    </w:p>
    <w:p>
      <w:r>
        <w:rPr>
          <w:b/>
        </w:rPr>
        <w:t xml:space="preserve">Quelle: </w:t>
      </w:r>
      <w:r>
        <w:t>https://mcp.opencaselaw.ch/entscheid/gr_gerichte_KSK 2021 86</w:t>
      </w:r>
    </w:p>
    <w:p>
      <w:r>
        <w:t>FR: GR_GERICHTE KSK 2021 86 du 1 décembre 2021</w:t>
      </w:r>
    </w:p>
    <w:p>
      <w:r>
        <w:t>IT: GR_GERICHTE KSK 2021 86 del 1 dicembre 2021</w:t>
      </w:r>
    </w:p>
    <w:p>
      <w:pPr>
        <w:pStyle w:val="Heading2"/>
      </w:pPr>
      <w:r>
        <w:t>Regeste</w:t>
      </w:r>
    </w:p>
    <w:p>
      <w:r>
        <w:t>Pfändungsvorladung | Aufsicht Beschwerde (SchKG 17 Abs. 1)</w:t>
      </w:r>
    </w:p>
    <w:p>
      <w:pPr>
        <w:pStyle w:val="Heading2"/>
      </w:pPr>
      <w:r>
        <w:t>Erwägungen</w:t>
      </w:r>
    </w:p>
    <w:p>
      <w:r>
        <w:rPr>
          <w:b/>
        </w:rPr>
        <w:t>E. 4</w:t>
      </w:r>
    </w:p>
    <w:p>
      <w:r>
        <w:t>/ 6 neue Beschwerdefrist ausgelöst (BGE 109 III 14 E. 5). Anzufechten ist vielmehr die ursprüngliche Ankündigung der Fortsetzung der Betreibung, weshalb die Be- schwerdefrist mit Zustellung der Pfändungsankündigung vom 12. Oktober 2021 zu laufen begann (Carl Jaeger/Hans Ulrich Walder/Thomas M. Kull, Bundesgesetz über Schuldbetreibung und Konkurs, 5. Aufl., Zürich 2006, N 10 zu Art. 90 SchKG). Gemäss Sendungsverfolgung nahm der Beschwerdeführer die fristauslö- sende Pfändungsankündigung am 13. Oktober 2021 entgegen, weshalb die zehntägige Beschwerdefrist am Montag, 25. Oktober 2021 endete. Wenn nun die vorliegende Beschwerde erst am 26. Oktober 2021 (Poststempel) der Post über- geben wurde, erfolgte diese verspätet. Auf die Beschwerde kann folglich nicht ein- getreten werden, soweit sie sich gegen die Pfändungsankündigung und die Vorla- dung vom 12. Oktober 2021 richtet. 2. Der Beschwerdeführer richtet seine Beschwerde vorliegend ebenfalls ge- gen das Schreiben des Betreibungsamts Viamala vom 25. Oktober 2021, in wel- chem sein Begehren auf Verrechnung der betriebenen Forderung mit den von ihm geltend gemachten Aufwendungen abgewiesen wurde. 2.1. Mittels Beschwerde anfechtbar sind bloss Verfügungen oder Beschlüsse des Vollstreckungsorgans, also konkrete Anordnungen der zuständigen Behörde, welche das Vollstreckungsverfahren weiterführen. Die blosse Feststellung einer Pflichtwidrigkeit, nur um beispielsweise eine bessere Grundlage für die Geltend- machung von Schadenersatzansprüchen zu schaffen, ist unzulässig (Flavio Co- metta/Urs Peter Möckli, in: Staehelin/Bauer/Staehelin [Hrsg.], Basler Kommentar zum Bundesgesetz über Schuldbetreibung und Konkurs I, 2. Aufl., Basel 2010, N</w:t>
      </w:r>
    </w:p>
    <w:p>
      <w:r>
        <w:rPr>
          <w:b/>
        </w:rPr>
        <w:t>E. 7</w:t>
      </w:r>
    </w:p>
    <w:p>
      <w:r>
        <w:t>zu Art. 17 SchKG). Es ist fraglich, ob es sich beim Schreiben des Betreibungs- amts Viamala vom 25. Oktober 2021 überhaupt um eine Betreibungshandlung im Rahmen eines vom Gläubiger gegen den Schuldner angehobenen Betreibungs- verfahrens handelt und nicht um eine blosse Mitteilung betreffend den Umgang mit einer vom Beschwerdeführer aufgeworfenen Forderung. Diese Frage kann indes- sen offenbleiben, da auf die Beschwerde ohnehin nicht einzutreten ist. 2.2. Wie erwähnt kann sich der Beschwerdeführer in einer Aufsichtsbeschwerde gegen eine Betreibungshandlung gegen jede Verletzung der Bestimmungen über deren Vollzug berufen. Die von der Aufsichtsbehörde zu prüfenden betreibungs- rechtlichen Streitigkeiten beschlagen dabei verfahrensrechtliche Fragen, mithin die Anwendung des formellen Rechts. Materiellrechtliche Fragen sind demgegenüber nicht der Beschwerde an die Aufsichtsbehörde zugänglich. Diese sind immer im zivil- oder verwaltungsrechtlichen Verfahren zu klären. In diesem Fall ist der Be- schwerdeweg ausgeschlossen (Cometta/Möckli, a.a.O., N 13 zu Art. 17 SchKG).</w:t>
      </w:r>
    </w:p>
    <w:p>
      <w:r>
        <w:t>5 / 6 2.3. Vorliegend erachtet der Beschwerdeführer die gegen ihn in der Pfändungs- ankündigung vom 12. Oktober 2021 aufgeführte Forderung als getilgt, weil ihm durch eine angeblich fehlerhafte Handlung des Betreibungsamts Aufwendungen und damit ein Schadenersatzanspruch entstanden seien. Diese würden die Höhe der Forderung übersteigen, weshalb er diese zur Verrechnung bringe. Nachdem der Beschwerdeführer die vom Betreibungsamt in der Pfändungsankündigung vom 12. Oktober 2021 korrigierte Berechnung in ihrem Bestand ohnehin nicht in Frage stellte, beschränken sich seine Vorbringen in der Beschwerde noch auf den Umstand der Verrechnung seiner behaupteten Ansprüche mit dem in der Pfän- dungsankündigung aufgeführten Betrag. Die Frage der rechtswirksamen Gel- tendmachung einer Verrechnung stellt jedoch eine materiellrechtliche Frage dar, die – abgesehen von der Frage nach dem Bestand der Forderung, die wohl ohne- hin nach den Voraussetzungen von Art. 5 SchKG und den Zuständigkeiten des Staatshaftungsgesetzes zu prüfen wäre (Art. 11 EGzSchKG) – einer Beurteilung durch die Aufsichtsbehörde nicht zugänglich ist. Folglich kann darauf ebenso nicht eingetreten werden. 2.4. Nur am Rande sei erwähnt, dass der Beschwerdeführer in seiner Verrech- nungseinrede einen Anspruch gegenüber dem Betreibungsamt Viamala mit einer Forderung der Gläubigerin gegen ihn zur Verrechnung bringen will. Somit fehlt es zum Vornherein an der gemäss Art. 120 OR erforderlichen Gegenseitigkeit. Es ist daher nicht ersichtlich, inwiefern das Betreibungsamt mit der Pfändungsankündi- gung vom 12. Oktober 2021 (und der Mitteilung der Abweisung der Verrechnung) eine rechtsfehlerhafte Betreibungshandlung begangen haben soll. 4. Gemäss Art. 20a Abs. 2 Ziff. 5 Satz 1 SchKG und Art. 61 Abs. 2 lit. a GebV SchKG (SR 281.35) ist das Beschwerdeverfahren vor der kantonalen Aufsichts- behörde kostenlos. Die – rein intern zu verbuchenden – Verfahrenskosten von CHF 800.00 verbleiben demnach beim Kanton.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